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D6" w:rsidRPr="008678AA" w:rsidRDefault="001D4AD6" w:rsidP="008678AA">
      <w:pPr>
        <w:spacing w:before="300" w:after="300" w:line="330" w:lineRule="atLeast"/>
        <w:outlineLvl w:val="1"/>
        <w:rPr>
          <w:rFonts w:ascii="OpenSans-Bold" w:eastAsia="Times New Roman" w:hAnsi="OpenSans-Bold" w:cs="Times New Roman"/>
          <w:sz w:val="30"/>
          <w:szCs w:val="30"/>
          <w:lang w:eastAsia="sk-SK"/>
        </w:rPr>
      </w:pPr>
      <w:bookmarkStart w:id="0" w:name="_GoBack"/>
      <w:r w:rsidRPr="008678AA">
        <w:rPr>
          <w:rFonts w:ascii="OpenSans-Bold" w:eastAsia="Times New Roman" w:hAnsi="OpenSans-Bold" w:cs="Times New Roman"/>
          <w:sz w:val="30"/>
          <w:szCs w:val="30"/>
          <w:lang w:eastAsia="sk-SK"/>
        </w:rPr>
        <w:t xml:space="preserve">Daňový </w:t>
      </w:r>
      <w:r w:rsidR="008678AA">
        <w:rPr>
          <w:rFonts w:ascii="OpenSans-Bold" w:eastAsia="Times New Roman" w:hAnsi="OpenSans-Bold" w:cs="Times New Roman"/>
          <w:sz w:val="30"/>
          <w:szCs w:val="30"/>
          <w:lang w:eastAsia="sk-SK"/>
        </w:rPr>
        <w:t xml:space="preserve">bonus alebo dotácia na stravu </w:t>
      </w:r>
      <w:bookmarkEnd w:id="0"/>
      <w:r w:rsidR="008678AA">
        <w:rPr>
          <w:rFonts w:ascii="OpenSans-Bold" w:eastAsia="Times New Roman" w:hAnsi="OpenSans-Bold" w:cs="Times New Roman"/>
          <w:sz w:val="30"/>
          <w:szCs w:val="30"/>
          <w:lang w:eastAsia="sk-SK"/>
        </w:rPr>
        <w:t>(5.</w:t>
      </w:r>
      <w:r w:rsidRPr="008678AA">
        <w:rPr>
          <w:rFonts w:ascii="OpenSans-Bold" w:eastAsia="Times New Roman" w:hAnsi="OpenSans-Bold" w:cs="Times New Roman"/>
          <w:sz w:val="30"/>
          <w:szCs w:val="30"/>
          <w:lang w:eastAsia="sk-SK"/>
        </w:rPr>
        <w:t>8.2021)</w:t>
      </w: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Pri sume daňového bonusu rozlišujeme od 1.7.2021 tri vekové pásma. Suma mesačného daňového bonusu je pre prvé vekové pásmo (dieťa do 6 rokov vrátane) 46,44 €, pre druhé vekové pásmo (nad 6 do 15 rokov vrátane) 39,47 € a pre tretie vekové pásmo (nad 15 do 25 rokov vrátane) 23,22 €. </w:t>
      </w: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POZOR, počnúc 1.8.2021 prichádza ďalšia zmena, ktorá </w:t>
      </w:r>
      <w:r w:rsidRPr="008678AA">
        <w:rPr>
          <w:rFonts w:ascii="inherit" w:eastAsia="Times New Roman" w:hAnsi="inherit" w:cs="Times New Roman"/>
          <w:b/>
          <w:bCs/>
          <w:sz w:val="21"/>
          <w:szCs w:val="21"/>
          <w:lang w:eastAsia="sk-SK"/>
        </w:rPr>
        <w:t>sa prvýkrát prejaví pri spracovaní augustových výplat</w:t>
      </w:r>
      <w:r w:rsidRPr="008678AA">
        <w:rPr>
          <w:rFonts w:ascii="OpenSans-Regular" w:eastAsia="Times New Roman" w:hAnsi="OpenSans-Regular" w:cs="Times New Roman"/>
          <w:sz w:val="21"/>
          <w:szCs w:val="21"/>
          <w:lang w:eastAsia="sk-SK"/>
        </w:rPr>
        <w:t> vykonaných v mesiaci september. Legislatívna novinka spočíva v tom, že rodičia, ktorí vyživujú dieťa vo veku od 6 do 15 rokov (druhé vekové pásmo), sa môžu rozhodnúť, či si uplatnia daňový bonus vo výške 39,47 € alebo si uplatnia tzv. obed zadarmo, kedy ide o dotáciu na stravu v zmysle § 4 ods. 3 písm. c) zákona o dotáciách (dotácia na 1 deň vo výške cca. 1,30 €, na mesiac s 20 pracovnými dňami cca. 26 €). Obe zvýhodnenia si uplatniť nemožno. Uvedené vyplýva z novely č. 257/2021 Z. z. zákona č. 544/2010 Z. z. o dotáciách v pôsobnosti ministerstva práce, na základe ktorej od 1.8.2021 dotáciu na podporu výchovy k stravovacím návykom dieťaťa možno poskytnúť na zabezpečenie obeda a iného jedla v materskej škole a v základnej škole, tzv. obed zadarmo, na každé dieťa, ktoré navštevuje:</w:t>
      </w:r>
    </w:p>
    <w:p w:rsidR="001D4AD6" w:rsidRPr="008678AA" w:rsidRDefault="001D4AD6" w:rsidP="008678AA">
      <w:pPr>
        <w:numPr>
          <w:ilvl w:val="0"/>
          <w:numId w:val="1"/>
        </w:numPr>
        <w:spacing w:before="100" w:beforeAutospacing="1" w:after="100" w:afterAutospacing="1"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posledný ročník materskej školy alebo</w:t>
      </w:r>
    </w:p>
    <w:p w:rsidR="001D4AD6" w:rsidRPr="008678AA" w:rsidRDefault="001D4AD6" w:rsidP="008678AA">
      <w:pPr>
        <w:numPr>
          <w:ilvl w:val="0"/>
          <w:numId w:val="1"/>
        </w:numPr>
        <w:spacing w:before="100" w:beforeAutospacing="1" w:after="100" w:afterAutospacing="1"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základnú školu</w:t>
      </w:r>
    </w:p>
    <w:tbl>
      <w:tblPr>
        <w:tblpPr w:leftFromText="141" w:rightFromText="141" w:vertAnchor="text" w:horzAnchor="margin" w:tblpXSpec="center" w:tblpY="1401"/>
        <w:tblW w:w="9179" w:type="dxa"/>
        <w:tblCellSpacing w:w="0" w:type="dxa"/>
        <w:tblCellMar>
          <w:left w:w="0" w:type="dxa"/>
          <w:right w:w="0" w:type="dxa"/>
        </w:tblCellMar>
        <w:tblLook w:val="04A0" w:firstRow="1" w:lastRow="0" w:firstColumn="1" w:lastColumn="0" w:noHBand="0" w:noVBand="1"/>
      </w:tblPr>
      <w:tblGrid>
        <w:gridCol w:w="2139"/>
        <w:gridCol w:w="2578"/>
        <w:gridCol w:w="4462"/>
      </w:tblGrid>
      <w:tr w:rsidR="008678AA" w:rsidRPr="008678AA" w:rsidTr="008678AA">
        <w:trPr>
          <w:trHeight w:val="524"/>
          <w:tblCellSpacing w:w="0" w:type="dxa"/>
        </w:trPr>
        <w:tc>
          <w:tcPr>
            <w:tcW w:w="0" w:type="auto"/>
            <w:gridSpan w:val="3"/>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inherit" w:eastAsia="Times New Roman" w:hAnsi="inherit" w:cs="Times New Roman"/>
                <w:b/>
                <w:bCs/>
                <w:sz w:val="21"/>
                <w:szCs w:val="21"/>
                <w:lang w:eastAsia="sk-SK"/>
              </w:rPr>
              <w:t>Daňový bonus na dieťa nad 6 do 15 rokov vrátane</w:t>
            </w:r>
            <w:r w:rsidRPr="008678AA">
              <w:rPr>
                <w:rFonts w:ascii="OpenSans-Regular" w:eastAsia="Times New Roman" w:hAnsi="OpenSans-Regular" w:cs="Times New Roman"/>
                <w:sz w:val="21"/>
                <w:szCs w:val="21"/>
                <w:lang w:eastAsia="sk-SK"/>
              </w:rPr>
              <w:br/>
              <w:t>(na 15-ročné dieťa len za mesiac, v ktorom dovŕši 15 rokov veku)</w:t>
            </w:r>
          </w:p>
        </w:tc>
      </w:tr>
      <w:tr w:rsidR="008678AA" w:rsidRPr="008678AA" w:rsidTr="008678AA">
        <w:trPr>
          <w:trHeight w:val="362"/>
          <w:tblCellSpacing w:w="0" w:type="dxa"/>
        </w:trPr>
        <w:tc>
          <w:tcPr>
            <w:tcW w:w="0" w:type="auto"/>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1D4AD6">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od 1.8.2021 do 31.12.2021</w:t>
            </w:r>
          </w:p>
        </w:tc>
        <w:tc>
          <w:tcPr>
            <w:tcW w:w="0" w:type="auto"/>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1D4AD6">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1,7-násobok základnej sumy DB</w:t>
            </w:r>
          </w:p>
        </w:tc>
        <w:tc>
          <w:tcPr>
            <w:tcW w:w="0" w:type="auto"/>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1D4AD6">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39,47 €; podmienkou je, že si neuplatňuje dotáciu na stravu</w:t>
            </w:r>
          </w:p>
        </w:tc>
      </w:tr>
      <w:tr w:rsidR="008678AA" w:rsidRPr="008678AA" w:rsidTr="008678AA">
        <w:trPr>
          <w:trHeight w:val="362"/>
          <w:tblCellSpacing w:w="0" w:type="dxa"/>
        </w:trPr>
        <w:tc>
          <w:tcPr>
            <w:tcW w:w="0" w:type="auto"/>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1D4AD6">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od 1.1.2022 do 31.12.2022</w:t>
            </w:r>
          </w:p>
        </w:tc>
        <w:tc>
          <w:tcPr>
            <w:tcW w:w="0" w:type="auto"/>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1D4AD6">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1,85-násobok základnej sumy DB</w:t>
            </w:r>
          </w:p>
        </w:tc>
        <w:tc>
          <w:tcPr>
            <w:tcW w:w="0" w:type="auto"/>
            <w:tcBorders>
              <w:top w:val="nil"/>
              <w:left w:val="nil"/>
              <w:bottom w:val="single" w:sz="6" w:space="0" w:color="CBCBCB"/>
              <w:right w:val="nil"/>
            </w:tcBorders>
            <w:shd w:val="clear" w:color="auto" w:fill="auto"/>
            <w:tcMar>
              <w:top w:w="225" w:type="dxa"/>
              <w:left w:w="75" w:type="dxa"/>
              <w:bottom w:w="225" w:type="dxa"/>
              <w:right w:w="75" w:type="dxa"/>
            </w:tcMar>
            <w:vAlign w:val="center"/>
            <w:hideMark/>
          </w:tcPr>
          <w:p w:rsidR="001D4AD6" w:rsidRPr="008678AA" w:rsidRDefault="001D4AD6" w:rsidP="001D4AD6">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43,60 €; podmienkou je, že si neuplatňuje dotáciu na stravu</w:t>
            </w:r>
          </w:p>
        </w:tc>
      </w:tr>
    </w:tbl>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OpenSans-Regular" w:eastAsia="Times New Roman" w:hAnsi="OpenSans-Regular" w:cs="Times New Roman"/>
          <w:sz w:val="21"/>
          <w:szCs w:val="21"/>
          <w:lang w:eastAsia="sk-SK"/>
        </w:rPr>
        <w:t>a žije v domácnosti, v ktorej si </w:t>
      </w:r>
      <w:r w:rsidRPr="008678AA">
        <w:rPr>
          <w:rFonts w:ascii="inherit" w:eastAsia="Times New Roman" w:hAnsi="inherit" w:cs="Times New Roman"/>
          <w:b/>
          <w:bCs/>
          <w:sz w:val="21"/>
          <w:szCs w:val="21"/>
          <w:lang w:eastAsia="sk-SK"/>
        </w:rPr>
        <w:t>ani jeden člen domácnosti </w:t>
      </w:r>
      <w:r w:rsidRPr="008678AA">
        <w:rPr>
          <w:rFonts w:ascii="inherit" w:eastAsia="Times New Roman" w:hAnsi="inherit" w:cs="Times New Roman"/>
          <w:b/>
          <w:bCs/>
          <w:sz w:val="21"/>
          <w:szCs w:val="21"/>
          <w:u w:val="single"/>
          <w:lang w:eastAsia="sk-SK"/>
        </w:rPr>
        <w:t>neuplatnil</w:t>
      </w:r>
      <w:r w:rsidRPr="008678AA">
        <w:rPr>
          <w:rFonts w:ascii="inherit" w:eastAsia="Times New Roman" w:hAnsi="inherit" w:cs="Times New Roman"/>
          <w:b/>
          <w:bCs/>
          <w:sz w:val="21"/>
          <w:szCs w:val="21"/>
          <w:lang w:eastAsia="sk-SK"/>
        </w:rPr>
        <w:t> na toto dieťa nárok na sumu daňového zvýhodnenia na vyživované dieťa (daňový bonus)</w:t>
      </w:r>
      <w:r w:rsidRPr="008678AA">
        <w:rPr>
          <w:rFonts w:ascii="OpenSans-Regular" w:eastAsia="Times New Roman" w:hAnsi="OpenSans-Regular" w:cs="Times New Roman"/>
          <w:sz w:val="21"/>
          <w:szCs w:val="21"/>
          <w:lang w:eastAsia="sk-SK"/>
        </w:rPr>
        <w:t>, ktoré dovŕšilo šesť rokov veku a nedovŕšilo 15 rokov veku, žijúce s ním v domácnosti podľa osobitného predpisu; za osobitný predpis sa považuje § 52zzj  ods. 2 písm. c) ZDP [od 1.1.2022 ust. § 33 ods. 1 písm. c) ZDP]; táto skutočnosť sa žiadateľovi podľa § 4 ods. 4 preukazuje čestným vyhlásením.“</w:t>
      </w:r>
    </w:p>
    <w:p w:rsidR="001D4AD6" w:rsidRPr="008678AA" w:rsidRDefault="001D4AD6" w:rsidP="008678AA">
      <w:pPr>
        <w:spacing w:before="150" w:after="150" w:line="240" w:lineRule="auto"/>
        <w:rPr>
          <w:rFonts w:ascii="inherit" w:eastAsia="Times New Roman" w:hAnsi="inherit" w:cs="Times New Roman"/>
          <w:b/>
          <w:bCs/>
          <w:sz w:val="21"/>
          <w:szCs w:val="21"/>
          <w:lang w:eastAsia="sk-SK"/>
        </w:rPr>
      </w:pP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inherit" w:eastAsia="Times New Roman" w:hAnsi="inherit" w:cs="Times New Roman"/>
          <w:b/>
          <w:bCs/>
          <w:sz w:val="21"/>
          <w:szCs w:val="21"/>
          <w:lang w:eastAsia="sk-SK"/>
        </w:rPr>
        <w:t>Suma daňového bonusu za august 2021 (výnimka)</w:t>
      </w:r>
      <w:r w:rsidRPr="008678AA">
        <w:rPr>
          <w:rFonts w:ascii="OpenSans-Regular" w:eastAsia="Times New Roman" w:hAnsi="OpenSans-Regular" w:cs="Times New Roman"/>
          <w:sz w:val="21"/>
          <w:szCs w:val="21"/>
          <w:lang w:eastAsia="sk-SK"/>
        </w:rPr>
        <w:br/>
        <w:t>V súlade s prechodným ustanovením § 16e dotácia na podporu výchovy k stravovacím návykom dieťaťa sa za august 2021 určí pre dieťa, ktoré navštevuje materskú školu, podľa tohto zákona v znení účinnom do 31. júla 2021. To znamená, že fyzická osoba (rodič) si môže uplatniť nárok na daňový bonus a aj dotáciu na obed súčasne, pričom zamestnávateľ neskúma, či si rodič na toto dieťa ne/uplatnil obed zadarmo - nemá to na daňový bonus vplyv.</w:t>
      </w: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inherit" w:eastAsia="Times New Roman" w:hAnsi="inherit" w:cs="Times New Roman"/>
          <w:b/>
          <w:bCs/>
          <w:sz w:val="21"/>
          <w:szCs w:val="21"/>
          <w:lang w:eastAsia="sk-SK"/>
        </w:rPr>
        <w:t>Preukazovanie splnenia podmienky nároku na daňový bonus u zamestnávateľa</w:t>
      </w:r>
      <w:r w:rsidRPr="008678AA">
        <w:rPr>
          <w:rFonts w:ascii="OpenSans-Regular" w:eastAsia="Times New Roman" w:hAnsi="OpenSans-Regular" w:cs="Times New Roman"/>
          <w:sz w:val="21"/>
          <w:szCs w:val="21"/>
          <w:lang w:eastAsia="sk-SK"/>
        </w:rPr>
        <w:br/>
        <w:t>Zamestnanec, ktorý si chce uplatniť u zamestnávateľa nárok </w:t>
      </w:r>
      <w:r w:rsidRPr="008678AA">
        <w:rPr>
          <w:rFonts w:ascii="OpenSans-Regular" w:eastAsia="Times New Roman" w:hAnsi="OpenSans-Regular" w:cs="Times New Roman"/>
          <w:sz w:val="21"/>
          <w:szCs w:val="21"/>
          <w:u w:val="single"/>
          <w:lang w:eastAsia="sk-SK"/>
        </w:rPr>
        <w:t>na priznanie daňového bonusu</w:t>
      </w:r>
      <w:r w:rsidRPr="008678AA">
        <w:rPr>
          <w:rFonts w:ascii="OpenSans-Regular" w:eastAsia="Times New Roman" w:hAnsi="OpenSans-Regular" w:cs="Times New Roman"/>
          <w:sz w:val="21"/>
          <w:szCs w:val="21"/>
          <w:lang w:eastAsia="sk-SK"/>
        </w:rPr>
        <w:t> na dieťa, je povinný svoj nárok preukázať príslušnými dokladmi [uvedené vyplýva z ust. § 37 ods. 2 ZDP]. Ak v súvislosti s poberaním daňového bonusu </w:t>
      </w:r>
      <w:r w:rsidRPr="008678AA">
        <w:rPr>
          <w:rFonts w:ascii="OpenSans-Regular" w:eastAsia="Times New Roman" w:hAnsi="OpenSans-Regular" w:cs="Times New Roman"/>
          <w:sz w:val="21"/>
          <w:szCs w:val="21"/>
          <w:u w:val="single"/>
          <w:lang w:eastAsia="sk-SK"/>
        </w:rPr>
        <w:t>nastanú zmeny,</w:t>
      </w:r>
      <w:r w:rsidRPr="008678AA">
        <w:rPr>
          <w:rFonts w:ascii="OpenSans-Regular" w:eastAsia="Times New Roman" w:hAnsi="OpenSans-Regular" w:cs="Times New Roman"/>
          <w:sz w:val="21"/>
          <w:szCs w:val="21"/>
          <w:lang w:eastAsia="sk-SK"/>
        </w:rPr>
        <w:t xml:space="preserve"> ktoré majú dopad na zánik nároku na daňový bonus, v zmysle platnej legislatívy je zamestnanec povinný tieto skutočnosti povinný oznámiť svojmu </w:t>
      </w:r>
      <w:r w:rsidRPr="008678AA">
        <w:rPr>
          <w:rFonts w:ascii="OpenSans-Regular" w:eastAsia="Times New Roman" w:hAnsi="OpenSans-Regular" w:cs="Times New Roman"/>
          <w:sz w:val="21"/>
          <w:szCs w:val="21"/>
          <w:lang w:eastAsia="sk-SK"/>
        </w:rPr>
        <w:lastRenderedPageBreak/>
        <w:t>zamestnávateľovi a to najneskôr posledný deň kalendárneho mesiaca, v ktorom zmena nastala [uvedené vyplýva z ust. § 36 ods. 7 ZDP];  z uvedeného vyplýva, že v prípade vzniku skutočnosti, ktorá spôsobuje zánik nároku na daňový bonus, zákon o dani z príjmov neukladá povinnosť túto skutočnosť preukazovať príslušnými dokladmi, ustanovuje len, že zamestnanec je povinný túto skutočnosť oznámiť zamestnávateľovi - napríklad zmenou vo vyhlásení.</w:t>
      </w:r>
      <w:r w:rsidRPr="008678AA">
        <w:rPr>
          <w:rFonts w:ascii="OpenSans-Regular" w:eastAsia="Times New Roman" w:hAnsi="OpenSans-Regular" w:cs="Times New Roman"/>
          <w:sz w:val="21"/>
          <w:szCs w:val="21"/>
          <w:lang w:eastAsia="sk-SK"/>
        </w:rPr>
        <w:br/>
        <w:t>Ak má zamestnávateľ pochybnosti o správnosti údajov, môže požadovať okrem zápisu zmeny vo vyhlásení, aj o predloženie dokladu, na základe ktorého zamestnanec preukáže, že mu nárok na daňový bonus zanikol [tento postup si zamestnávateľ môže upraviť v internom predpise, napr. v pracovnom poriadku (v praxi ide napr. o sporné nároky pri uplatňovaní daňového bonusu na dieťa, ktoré je zverené v striedavej starostlivosti rodičov, príp. ak pôjde o tzv. dotácie na stravu).</w:t>
      </w:r>
      <w:r w:rsidRPr="008678AA">
        <w:rPr>
          <w:rFonts w:ascii="OpenSans-Regular" w:eastAsia="Times New Roman" w:hAnsi="OpenSans-Regular" w:cs="Times New Roman"/>
          <w:sz w:val="21"/>
          <w:szCs w:val="21"/>
          <w:lang w:eastAsia="sk-SK"/>
        </w:rPr>
        <w:br/>
        <w:t>Uvedený spôsob preukazovania a uplatňovania nároku na daňový bonus sa vzťahuje na každého daňovníka. Preto aj v prípade poberania dotácie na podporu výchovy k stravovacím návykom dieťaťa podľa § 4 ods. 3 písm. c) zákona č. 544/2010 Z. z., je zamestnanec povinný túto skutočnosť oznámiť svojmu zamestnávateľovi vyššie ustanoveným spôsobom, napr. zmenou vo vyhlásení.</w:t>
      </w: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inherit" w:eastAsia="Times New Roman" w:hAnsi="inherit" w:cs="Times New Roman"/>
          <w:b/>
          <w:bCs/>
          <w:sz w:val="21"/>
          <w:szCs w:val="21"/>
          <w:lang w:eastAsia="sk-SK"/>
        </w:rPr>
        <w:t>Upozornenie: </w:t>
      </w:r>
      <w:r w:rsidRPr="008678AA">
        <w:rPr>
          <w:rFonts w:ascii="OpenSans-Regular" w:eastAsia="Times New Roman" w:hAnsi="OpenSans-Regular" w:cs="Times New Roman"/>
          <w:sz w:val="21"/>
          <w:szCs w:val="21"/>
          <w:lang w:eastAsia="sk-SK"/>
        </w:rPr>
        <w:t xml:space="preserve">Zriaďovateľovi (napr. základnej škole) je fyzická osoba (rodič) povinná preukázať neuplatnenie si nároku na daňový bonus  na základe čestného vyhlásenia (tlačivo predpísané ústredím práce), že ani jeden člen domácnosti si daňový bonus neuplatnil na dieťa, ktoré dovŕšilo 6 rokov veku a nedovŕšilo 15 rokov veku podľa § 52zzj ods. 2 písm. c) ZDP [od 1.1.2022 podľa § 33 ods. 1 písm. c) ZDP]. Zriaďovateľ by mal upozorniť zákonného zástupcu dieťaťa, resp. fyzickú osobu, v ktorej starostlivosti je dieťa, že ak by si v čase poskytovania dotácie na stravu uplatnil daňový bonus podľa § 52zzj ods. 2 písm. c)  ZDP [od 1.1.2022 podľa § 33 ods. 1 písm. c) ZDP], je povinný o uvedenom zriaďovateľa bezodkladne informovať s tým, že si musí byť vedomý právnych dôsledkov nepravdivého vyhlásenia [trestný čin podvodu podľa § 221 zákona č. 300/2005 </w:t>
      </w:r>
      <w:proofErr w:type="spellStart"/>
      <w:r w:rsidRPr="008678AA">
        <w:rPr>
          <w:rFonts w:ascii="OpenSans-Regular" w:eastAsia="Times New Roman" w:hAnsi="OpenSans-Regular" w:cs="Times New Roman"/>
          <w:sz w:val="21"/>
          <w:szCs w:val="21"/>
          <w:lang w:eastAsia="sk-SK"/>
        </w:rPr>
        <w:t>Z.z</w:t>
      </w:r>
      <w:proofErr w:type="spellEnd"/>
      <w:r w:rsidRPr="008678AA">
        <w:rPr>
          <w:rFonts w:ascii="OpenSans-Regular" w:eastAsia="Times New Roman" w:hAnsi="OpenSans-Regular" w:cs="Times New Roman"/>
          <w:sz w:val="21"/>
          <w:szCs w:val="21"/>
          <w:lang w:eastAsia="sk-SK"/>
        </w:rPr>
        <w:t>. (Trestný zákon) v znení neskorších predpisov) a povinnosti vrátiť všetky finančné prostriedky poskytnuté na toto dieťa ako dotáciu na stravu].</w:t>
      </w: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inherit" w:eastAsia="Times New Roman" w:hAnsi="inherit" w:cs="Times New Roman"/>
          <w:b/>
          <w:bCs/>
          <w:i/>
          <w:iCs/>
          <w:sz w:val="21"/>
          <w:szCs w:val="21"/>
          <w:lang w:eastAsia="sk-SK"/>
        </w:rPr>
        <w:t>Príklad: </w:t>
      </w:r>
      <w:r w:rsidRPr="008678AA">
        <w:rPr>
          <w:rFonts w:ascii="OpenSans-Regular" w:eastAsia="Times New Roman" w:hAnsi="OpenSans-Regular" w:cs="Times New Roman"/>
          <w:i/>
          <w:iCs/>
          <w:sz w:val="21"/>
          <w:szCs w:val="21"/>
          <w:lang w:eastAsia="sk-SK"/>
        </w:rPr>
        <w:t>Ak 5-ročné dieťa je v poslednom ročníku materskej školy a rodič poberá dvojnásobný daňový bonus (46,44 €), môže byť na toto dieťa uplatnená dotáciu na stravu? Zostane zachovaný aj nárok na daňový bonus (46,44 €)?</w:t>
      </w:r>
      <w:r w:rsidRPr="008678AA">
        <w:rPr>
          <w:rFonts w:ascii="OpenSans-Regular" w:eastAsia="Times New Roman" w:hAnsi="OpenSans-Regular" w:cs="Times New Roman"/>
          <w:i/>
          <w:iCs/>
          <w:sz w:val="21"/>
          <w:szCs w:val="21"/>
          <w:lang w:eastAsia="sk-SK"/>
        </w:rPr>
        <w:br/>
        <w:t>Mesačný daňový bonus vo výške 39,47 € (1,7-násobok základnej sumy daňového bonusu) sa uplatní, ak vyživované dieťa dovŕšilo šesť rokov veku a nedovŕšilo 15 rokov veku (poslednýkrát sa v tejto sume uplatní za kalendárny mesiac, v ktorom dieťa dovŕši 15 rokov veku); podľa novej legislatívy platnej od 1.8.2021 toto neplatí, ak sa na dieťa poskytuje dotácia na stravu (tzv. dotácia na podporu výchovy k stravovacím návykom dieťaťa podľa osobitného predpisu - za osobitný predpis sa považuje § 4 ods. 3 písm. c) zákona č. 544/2010 Z. z. o dotáciách v pôsobnosti ministerstva práce).</w:t>
      </w:r>
      <w:r w:rsidRPr="008678AA">
        <w:rPr>
          <w:rFonts w:ascii="OpenSans-Regular" w:eastAsia="Times New Roman" w:hAnsi="OpenSans-Regular" w:cs="Times New Roman"/>
          <w:i/>
          <w:iCs/>
          <w:sz w:val="21"/>
          <w:szCs w:val="21"/>
          <w:lang w:eastAsia="sk-SK"/>
        </w:rPr>
        <w:br/>
        <w:t>Takže, na deti v poslednom ročníku MŠ, ktoré nedovŕšili 6 rokov veku (napr. 5 ročné deti v poslednom ročníku MŠ) dotáciu na stravu možno poskytnúť, nakoľko na tieto deti nemožno uplatniť z dôvodu ich veku nárok na daňový bonus vo výške 39,47 €; rodič má totiž na dieťa vo veku 5 rokov nárok na daňový bonus vo výške 46,44 €.</w:t>
      </w:r>
    </w:p>
    <w:p w:rsidR="001D4AD6" w:rsidRPr="008678AA" w:rsidRDefault="001D4AD6" w:rsidP="008678AA">
      <w:pPr>
        <w:spacing w:before="150" w:after="150" w:line="240" w:lineRule="auto"/>
        <w:rPr>
          <w:rFonts w:ascii="OpenSans-Regular" w:eastAsia="Times New Roman" w:hAnsi="OpenSans-Regular" w:cs="Times New Roman"/>
          <w:sz w:val="21"/>
          <w:szCs w:val="21"/>
          <w:lang w:eastAsia="sk-SK"/>
        </w:rPr>
      </w:pPr>
      <w:r w:rsidRPr="008678AA">
        <w:rPr>
          <w:rFonts w:ascii="inherit" w:eastAsia="Times New Roman" w:hAnsi="inherit" w:cs="Times New Roman"/>
          <w:b/>
          <w:bCs/>
          <w:i/>
          <w:iCs/>
          <w:sz w:val="21"/>
          <w:szCs w:val="21"/>
          <w:lang w:eastAsia="sk-SK"/>
        </w:rPr>
        <w:t>Príklad: </w:t>
      </w:r>
      <w:r w:rsidRPr="008678AA">
        <w:rPr>
          <w:rFonts w:ascii="OpenSans-Regular" w:eastAsia="Times New Roman" w:hAnsi="OpenSans-Regular" w:cs="Times New Roman"/>
          <w:i/>
          <w:iCs/>
          <w:sz w:val="21"/>
          <w:szCs w:val="21"/>
          <w:lang w:eastAsia="sk-SK"/>
        </w:rPr>
        <w:t>Ak je dieťa je v poslednom ročníku materskej školy a dňa 1.5.2022 dovŕši 6 rokov, nárok na dvojnásobný daňový bonus má poslednýkrát za mesiac máj 2022. Počnúc mesiacom jún 2022 si rodič môže uplatniť nárok na daňový bonus vo výške 1,85-násobku základnej sumy daňového bonusu. Má rodič za mesiac máj 2022 súčasne nárok na daňový bonus a aj nárok na dotáciu na stravu?</w:t>
      </w:r>
      <w:r w:rsidRPr="008678AA">
        <w:rPr>
          <w:rFonts w:ascii="OpenSans-Regular" w:eastAsia="Times New Roman" w:hAnsi="OpenSans-Regular" w:cs="Times New Roman"/>
          <w:i/>
          <w:iCs/>
          <w:sz w:val="21"/>
          <w:szCs w:val="21"/>
          <w:lang w:eastAsia="sk-SK"/>
        </w:rPr>
        <w:br/>
        <w:t>Keďže za mesiac máj 2022 má rodič nárok ešte na dvojnásobný daňový bonus, za tento mesiac si rodič môže súčasne uplatniť nárok na daňový bonus a aj nárok na dotáciu na stravu. Počnúc mesiacom jún 2022 sa musí rozhodnúť, či bude poberať daňový bonus v sume podľa § 33 ods. 1 písm. c) ZDP alebo či si bude uplatňovať dotáciu na stravu. Ak sa rozhodne pre dotáciu na stravu, o tejto skutočnosti je zamestnanec povinný informovať svojho zamestnávateľa a to v lehote najneskôr do 30.6.2022.</w:t>
      </w:r>
    </w:p>
    <w:p w:rsidR="004A4E09" w:rsidRDefault="004A4E09" w:rsidP="001D4AD6"/>
    <w:sectPr w:rsidR="004A4E09" w:rsidSect="006D0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ans-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354"/>
    <w:multiLevelType w:val="multilevel"/>
    <w:tmpl w:val="6306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C37B2"/>
    <w:rsid w:val="001D4AD6"/>
    <w:rsid w:val="002C37B2"/>
    <w:rsid w:val="004A4E09"/>
    <w:rsid w:val="006D0860"/>
    <w:rsid w:val="007D5E3D"/>
    <w:rsid w:val="008678A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C85E"/>
  <w15:docId w15:val="{5D6F7DCC-C376-4F82-8A17-387332B0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0860"/>
  </w:style>
  <w:style w:type="paragraph" w:styleId="Nadpis2">
    <w:name w:val="heading 2"/>
    <w:basedOn w:val="Normlny"/>
    <w:link w:val="Nadpis2Char"/>
    <w:uiPriority w:val="9"/>
    <w:qFormat/>
    <w:rsid w:val="001D4AD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1D4AD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1D4AD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1D4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1089</Words>
  <Characters>6212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Lattova Ludmila</dc:creator>
  <cp:lastModifiedBy>ZlavaDna</cp:lastModifiedBy>
  <cp:revision>4</cp:revision>
  <dcterms:created xsi:type="dcterms:W3CDTF">2021-10-13T09:39:00Z</dcterms:created>
  <dcterms:modified xsi:type="dcterms:W3CDTF">2021-10-16T19:01:00Z</dcterms:modified>
</cp:coreProperties>
</file>